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83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>
      <w:pPr/>
      <w:r>
        <w:rPr/>
        <w:t xml:space="preserve">&lt;div&gt;Passiver Verteilerpunkt im FTTx-Glasfasernetzwerk&amp;nbsp;&lt;br&gt;&lt;br&gt;&lt;/div&gt;&lt;ul&gt;&lt;li&gt;Gehäuse und Sockel aus glasfaserverstärktem 100% recyclefähigen Polycarbonat, beschichtet in RAL 7038 mit umweltfreundlichem Lack&amp;nbsp;&lt;/li&gt;&lt;li&gt;Zentraler Erdungspunkt Tür mit Schwenkhebel, vorbereitet zum Einbau eines Halbprofilzylinders Sockel mit abnehmbarer Frontklappe und C-Schiene zur Fixierung der Rohrverbände&amp;nbsp;&lt;/li&gt;&lt;/ul&gt;&lt;div&gt;&lt;br&gt;&lt;/div&gt;&lt;ul&gt;&lt;li&gt;Innenausbau Schwenkrahmen mit E&amp;amp;MMS-Kassettensystem und Fasermanagement&amp;nbsp;&lt;/li&gt;&lt;li&gt;Innenrückwand für Röhrchen- und Kabelmanagement mit Kabelüberlängenablage&amp;nbsp;&lt;/li&gt;&lt;li&gt;Fixierungen der ankommenden Kabel mit Zentralelementabfangung&amp;nbsp;&lt;/li&gt;&lt;li&gt;Überlängenablage unbenutzter oder ungeschnittener Bündeladern (Loop-Funktion)&amp;nbsp;&lt;/li&gt;&lt;li&gt;Überlängenablage der abgehenden Kabel&amp;nbsp;&lt;/li&gt;&lt;li&gt;Überführung und Abfangung der Kabel in den Spleißbereich&amp;nbsp;&lt;/li&gt;&lt;li&gt;Geschützte Führung der Bündeladern zum Spleißbereich&amp;nbsp;&lt;/li&gt;&lt;li&gt;Integration von Splitter möglich&lt;/li&gt;&lt;/ul&gt;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3-reihiges Spleißkassettensystem mit max. 216 Rastplätzen für bis zu 2.592 Crimpspleiß- oder 1.296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bis zu 12 Durchführungen für Rohrverbände und zusätzliche Kabeldurchführungen: Abgang: 288x 7mm oder 144x 10mm Mikrorohre; Zugang: 3,5 - 20mm 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83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Schlagfestigkeit IK10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Glasfaserverstärktes Polycarbonat, Aluminium, Edelstahl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HxBxT [mm]: 998x1131x310; Sockel HxBxT [mm]: 1060x1131x284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B23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83</dc:title>
  <dc:description/>
  <dc:subject/>
  <cp:keywords/>
  <cp:category/>
  <cp:lastModifiedBy/>
  <dcterms:created xsi:type="dcterms:W3CDTF">2025-05-11T02:21:07+02:00</dcterms:created>
  <dcterms:modified xsi:type="dcterms:W3CDTF">2025-05-11T02:21:07+02:00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