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KÜB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Kabelüberlängenbox</w:t>
      </w:r>
    </w:p>
    <w:p/>
    <w:p>
      <w:pPr>
        <w:numPr>
          <w:ilvl w:val="0"/>
          <w:numId w:val="1"/>
        </w:numPr>
      </w:pPr>
      <w:r>
        <w:rPr/>
        <w:t xml:space="preserve">In Kombination mit der 2LINE Athene BOX einsetzbar </w:t>
      </w:r>
    </w:p>
    <w:p>
      <w:pPr>
        <w:numPr>
          <w:ilvl w:val="0"/>
          <w:numId w:val="1"/>
        </w:numPr>
      </w:pPr>
      <w:r>
        <w:rPr/>
        <w:t xml:space="preserve">Ermöglicht den Überlängenausgleich von kaskadierten Kabelpeitschen </w:t>
      </w:r>
    </w:p>
    <w:p>
      <w:pPr>
        <w:numPr>
          <w:ilvl w:val="0"/>
          <w:numId w:val="1"/>
        </w:numPr>
      </w:pPr>
      <w:r>
        <w:rPr/>
        <w:t xml:space="preserve">Einsatz zur Ablage von Überlängen </w:t>
      </w:r>
    </w:p>
    <w:p>
      <w:pPr>
        <w:numPr>
          <w:ilvl w:val="0"/>
          <w:numId w:val="1"/>
        </w:numPr>
      </w:pPr>
      <w:r>
        <w:rPr/>
        <w:t xml:space="preserve">Mikrorohraufnahme von Ø5 /Ø7 /Ø10 mm </w:t>
      </w:r>
    </w:p>
    <w:p>
      <w:pPr>
        <w:numPr>
          <w:ilvl w:val="0"/>
          <w:numId w:val="1"/>
        </w:numPr>
      </w:pPr>
      <w:r>
        <w:rPr/>
        <w:t xml:space="preserve">Einsatz von Gas-/ Wasser - Stopp </w:t>
      </w:r>
    </w:p>
    <w:p>
      <w:pPr>
        <w:numPr>
          <w:ilvl w:val="0"/>
          <w:numId w:val="1"/>
        </w:numPr>
      </w:pPr>
      <w:r>
        <w:rPr/>
        <w:t xml:space="preserve">Schließung selbstverrastend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Kundenlogo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 und UV-beständig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Signalweiß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HxBxT[mm]:90x96x27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KÜB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4DD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5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Athene KÜB</dc:title>
  <dc:description/>
  <dc:subject/>
  <cp:keywords/>
  <cp:category/>
  <cp:lastModifiedBy/>
  <dcterms:created xsi:type="dcterms:W3CDTF">2025-05-09T09:51:12+02:00</dcterms:created>
  <dcterms:modified xsi:type="dcterms:W3CDTF">2025-05-09T09:51:12+02:00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