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18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3.888 Ports </w:t>
      </w:r>
    </w:p>
    <w:p/>
    <w:p>
      <w:pPr/>
      <w:r>
        <w:rPr/>
        <w:t xml:space="preserve">Variables 3x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 </w:t>
      </w:r>
    </w:p>
    <w:p/>
    <w:p>
      <w:pPr/>
      <w:r>
        <w:rPr/>
        <w:t xml:space="preserve">Modulare Bestückung und Erweiterung mit Spleiß-/Patchmodulen 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 mm 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>
      <w:pPr/>
      <w:r>
        <w:rPr/>
        <w:t xml:space="preserve">Möglichkeit zum Aufsatz eines aktiven 3-stufigen Kühlsystems bis 3,5 kW Abwärmeleistung, wartungsfrei. Inkl. Aufsatz darf das Gehäuse des MFG eine Höhe von 1950 mm nicht überschreiten.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 19” Breite 465mm (Lochabstand), Raster 44,45mm, Kapazität 21HE; ETSI Breite 515mm (Lochabstand), Raster 25mm, Kapazität 37HE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MFG 18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1600x2000x500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50A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428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18</dc:title>
  <dc:description/>
  <dc:subject/>
  <cp:keywords/>
  <cp:category/>
  <cp:lastModifiedBy/>
  <dcterms:created xsi:type="dcterms:W3CDTF">2024-10-30T10:52:32+01:00</dcterms:created>
  <dcterms:modified xsi:type="dcterms:W3CDTF">2024-10-30T10:52:32+01:00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