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 </w:t>
      </w:r>
    </w:p>
    <w:p>
      <w:pPr>
        <w:numPr>
          <w:ilvl w:val="0"/>
          <w:numId w:val="1"/>
        </w:numPr>
      </w:pPr>
      <w:r>
        <w:rPr/>
        <w:t xml:space="preserve">Tür mit Schwenkhebel, vorbereitet zum Einbau eines Halbprofilzylinders </w:t>
      </w:r>
    </w:p>
    <w:p>
      <w:pPr>
        <w:numPr>
          <w:ilvl w:val="0"/>
          <w:numId w:val="1"/>
        </w:numPr>
      </w:pPr>
      <w:r>
        <w:rPr/>
        <w:t xml:space="preserve">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 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2-reihiges Spleißkassettensystem mit max.144 Rastplätzen für bis zu 1.728 Crimpspleiß- oder 864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8 Durchführungen für Rohrverbände und zusätzliche Kabeldurchführungen: Abgang: 192x 7mm oder 96x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998x754x310; Sockel HxBxT [mm]: 1060x754x284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B6D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23F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F9D55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82</dc:title>
  <dc:description/>
  <dc:subject/>
  <cp:keywords/>
  <cp:category/>
  <cp:lastModifiedBy/>
  <dcterms:created xsi:type="dcterms:W3CDTF">2024-04-23T12:04:34+02:00</dcterms:created>
  <dcterms:modified xsi:type="dcterms:W3CDTF">2024-04-23T12:04:34+02:00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